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B30F6A" w:rsidRPr="00D439D7" w:rsidRDefault="00B30F6A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</w:t>
      </w:r>
      <w:r w:rsidR="00D651C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1D4BC8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439D7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</w:t>
      </w:r>
      <w:r w:rsidR="001D4BC8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439D7">
        <w:rPr>
          <w:rFonts w:ascii="Times New Roman" w:hAnsi="Times New Roman"/>
          <w:sz w:val="28"/>
          <w:szCs w:val="28"/>
        </w:rPr>
        <w:t>: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="002F1F81" w:rsidRPr="00D439D7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 бывший </w:t>
      </w:r>
      <w:r w:rsidR="0067501A" w:rsidRPr="00D439D7">
        <w:rPr>
          <w:rFonts w:ascii="Times New Roman" w:hAnsi="Times New Roman"/>
          <w:sz w:val="28"/>
          <w:szCs w:val="28"/>
        </w:rPr>
        <w:t xml:space="preserve">представитель </w:t>
      </w:r>
      <w:r w:rsidRPr="00D439D7">
        <w:rPr>
          <w:rFonts w:ascii="Times New Roman" w:hAnsi="Times New Roman"/>
          <w:sz w:val="28"/>
          <w:szCs w:val="28"/>
        </w:rPr>
        <w:t>нанимател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>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B30F6A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</w:t>
      </w:r>
      <w:r w:rsidR="00925CD8" w:rsidRPr="00D439D7">
        <w:rPr>
          <w:rFonts w:ascii="Times New Roman" w:hAnsi="Times New Roman"/>
          <w:sz w:val="28"/>
          <w:szCs w:val="28"/>
        </w:rPr>
        <w:t xml:space="preserve">, в том числе государственная </w:t>
      </w:r>
      <w:r w:rsidR="00CD3A4D" w:rsidRPr="00D439D7">
        <w:rPr>
          <w:rFonts w:ascii="Times New Roman" w:hAnsi="Times New Roman"/>
          <w:sz w:val="28"/>
          <w:szCs w:val="28"/>
        </w:rPr>
        <w:t xml:space="preserve">корпорация, </w:t>
      </w:r>
      <w:r w:rsidR="00925CD8" w:rsidRPr="00D439D7">
        <w:rPr>
          <w:rFonts w:ascii="Times New Roman" w:hAnsi="Times New Roman"/>
          <w:sz w:val="28"/>
          <w:szCs w:val="28"/>
        </w:rPr>
        <w:t>компания или публично-правовая компания</w:t>
      </w:r>
      <w:r w:rsidRPr="00D439D7">
        <w:rPr>
          <w:rFonts w:ascii="Times New Roman" w:hAnsi="Times New Roman"/>
          <w:sz w:val="28"/>
          <w:szCs w:val="28"/>
        </w:rPr>
        <w:t>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D439D7" w:rsidRPr="00D439D7" w:rsidRDefault="00D439D7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0B6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CD3A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(муниципальных) служащих и урегулированию конфликта интересов (далее – комиссия)</w:t>
      </w:r>
      <w:r w:rsidRPr="00D439D7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0B693D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службы: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мая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2009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 557 (далее - Указ № 557);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925CD8" w:rsidRPr="00D439D7">
        <w:rPr>
          <w:rFonts w:ascii="Times New Roman" w:hAnsi="Times New Roman"/>
          <w:sz w:val="28"/>
        </w:rPr>
        <w:t>.</w:t>
      </w:r>
    </w:p>
    <w:p w:rsidR="00B30F6A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="00925CD8" w:rsidRPr="00D439D7">
        <w:rPr>
          <w:rFonts w:ascii="Times New Roman" w:hAnsi="Times New Roman"/>
          <w:b/>
          <w:sz w:val="28"/>
          <w:szCs w:val="28"/>
        </w:rPr>
        <w:t>.</w:t>
      </w:r>
    </w:p>
    <w:p w:rsidR="00925CD8" w:rsidRPr="00D439D7" w:rsidRDefault="00925CD8" w:rsidP="00925CD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</w:t>
      </w:r>
      <w:r w:rsidR="00E261E0" w:rsidRPr="00D439D7">
        <w:rPr>
          <w:rFonts w:ascii="Times New Roman" w:hAnsi="Times New Roman"/>
          <w:sz w:val="28"/>
          <w:szCs w:val="28"/>
        </w:rPr>
        <w:t xml:space="preserve">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B30F6A" w:rsidRPr="00D439D7" w:rsidRDefault="00B30F6A" w:rsidP="00A6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6.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Не требуется дача согласия комиссии в следующих ситуациях: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66637D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7.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Для федеральных государственных служащих соответствующий порядок обращения регламентирован </w:t>
      </w:r>
      <w:r w:rsidRPr="00D439D7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B30F6A" w:rsidRPr="00D439D7" w:rsidRDefault="00B30F6A" w:rsidP="003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439D7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30F6A" w:rsidRPr="00D439D7" w:rsidDel="00C14BE2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8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="00CB2F43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="000B693D"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</w:t>
      </w:r>
      <w:r w:rsidRPr="00D439D7" w:rsidDel="00C14BE2"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государственной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</w:t>
      </w:r>
      <w:r w:rsidR="00974771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>).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439D7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Pr="00D439D7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орган.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обращении указываются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замещаемые должности в течение последних двух лет до дня увольнения с государственной</w:t>
      </w:r>
      <w:r w:rsidR="00974771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3)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 xml:space="preserve">какой конкретной хозяйственной деятельности данной коммерческой (некоммерческой) организации касались принимаемые государственным </w:t>
      </w:r>
      <w:r w:rsidR="00974771" w:rsidRPr="00D439D7">
        <w:rPr>
          <w:rFonts w:ascii="Times New Roman" w:hAnsi="Times New Roman"/>
          <w:sz w:val="28"/>
          <w:szCs w:val="28"/>
        </w:rPr>
        <w:t xml:space="preserve">(муниципальным) </w:t>
      </w:r>
      <w:r w:rsidRPr="00D439D7">
        <w:rPr>
          <w:rFonts w:ascii="Times New Roman" w:hAnsi="Times New Roman"/>
          <w:sz w:val="28"/>
          <w:szCs w:val="28"/>
        </w:rPr>
        <w:t>служащим решения</w:t>
      </w:r>
      <w:r w:rsidR="00E758E4" w:rsidRPr="00D439D7">
        <w:rPr>
          <w:rFonts w:ascii="Times New Roman" w:hAnsi="Times New Roman"/>
          <w:sz w:val="28"/>
          <w:szCs w:val="28"/>
        </w:rPr>
        <w:t>.</w:t>
      </w:r>
      <w:r w:rsidR="00056C00"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439D7">
        <w:rPr>
          <w:rFonts w:ascii="Times New Roman" w:hAnsi="Times New Roman"/>
          <w:sz w:val="28"/>
          <w:szCs w:val="28"/>
        </w:rPr>
        <w:t>должны</w:t>
      </w:r>
      <w:r w:rsidR="00E758E4" w:rsidRPr="00D439D7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056C00" w:rsidRPr="00D439D7">
        <w:rPr>
          <w:rFonts w:ascii="Times New Roman" w:hAnsi="Times New Roman"/>
          <w:sz w:val="28"/>
          <w:szCs w:val="28"/>
        </w:rPr>
        <w:t>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11)</w:t>
      </w:r>
      <w:r w:rsidR="00DE06C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информация о намерении лично присутствовать на заседании комиссии (пункт 19 Положения о комиссиях).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11.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За согласием на трудоустройство в комиссию может обратиться также </w:t>
      </w:r>
      <w:r w:rsidR="00DE06CD" w:rsidRPr="00D439D7">
        <w:rPr>
          <w:rFonts w:ascii="Times New Roman" w:hAnsi="Times New Roman"/>
          <w:sz w:val="28"/>
          <w:szCs w:val="28"/>
          <w:lang w:eastAsia="ru-RU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  <w:lang w:eastAsia="ru-RU"/>
        </w:rPr>
        <w:t>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439D7" w:rsidRDefault="004B30A5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DE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12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Первоначальное </w:t>
      </w:r>
      <w:r w:rsidRPr="00D439D7">
        <w:rPr>
          <w:rFonts w:ascii="Times New Roman" w:hAnsi="Times New Roman"/>
          <w:sz w:val="28"/>
          <w:szCs w:val="28"/>
        </w:rPr>
        <w:t xml:space="preserve">рассмотрение обращения осуществляется в подразделении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13.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имеют право проводить собеседование с государственным</w:t>
      </w:r>
      <w:r w:rsidR="00DE06CD" w:rsidRPr="00D439D7">
        <w:rPr>
          <w:rFonts w:ascii="Times New Roman" w:hAnsi="Times New Roman"/>
          <w:sz w:val="28"/>
          <w:szCs w:val="28"/>
        </w:rPr>
        <w:t xml:space="preserve"> (муниципальным) </w:t>
      </w:r>
      <w:r w:rsidRPr="00D439D7">
        <w:rPr>
          <w:rFonts w:ascii="Times New Roman" w:hAnsi="Times New Roman"/>
          <w:sz w:val="28"/>
          <w:szCs w:val="28"/>
        </w:rPr>
        <w:t xml:space="preserve">служащим, представившим обращение, получать от него письменные пояснения, а руководитель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Согласно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1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B30F6A" w:rsidRPr="00D439D7" w:rsidRDefault="0082651B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ходе подготовки мотивированного заключения рекомендуется: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а) проанализировать функции по государственному, муниципальному (административному) управлению, ранее осуществлявшиеся гражданином, </w:t>
      </w:r>
      <w:r w:rsidR="00105E65" w:rsidRPr="00D439D7">
        <w:rPr>
          <w:rFonts w:ascii="Times New Roman" w:hAnsi="Times New Roman"/>
          <w:sz w:val="28"/>
          <w:szCs w:val="28"/>
        </w:rPr>
        <w:t xml:space="preserve">а также реально принятые им решения в отношении организации </w:t>
      </w:r>
      <w:r w:rsidRPr="00D439D7">
        <w:rPr>
          <w:rFonts w:ascii="Times New Roman" w:hAnsi="Times New Roman"/>
          <w:sz w:val="28"/>
          <w:szCs w:val="28"/>
        </w:rPr>
        <w:t xml:space="preserve">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</w:t>
      </w:r>
      <w:r w:rsidR="007C5396" w:rsidRPr="00D439D7">
        <w:rPr>
          <w:rFonts w:ascii="Times New Roman" w:hAnsi="Times New Roman"/>
          <w:sz w:val="28"/>
          <w:szCs w:val="28"/>
        </w:rPr>
        <w:t>, решения: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7B4ABA" w:rsidRPr="00D439D7" w:rsidRDefault="00E758E4" w:rsidP="00BB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</w:t>
      </w:r>
      <w:r w:rsidR="00BB0552" w:rsidRPr="00D439D7">
        <w:rPr>
          <w:rFonts w:ascii="Times New Roman" w:hAnsi="Times New Roman"/>
          <w:sz w:val="28"/>
          <w:szCs w:val="28"/>
        </w:rPr>
        <w:t> </w:t>
      </w:r>
      <w:r w:rsidR="00C04BD4" w:rsidRPr="00D439D7">
        <w:rPr>
          <w:rFonts w:ascii="Times New Roman" w:hAnsi="Times New Roman"/>
          <w:sz w:val="28"/>
          <w:szCs w:val="28"/>
        </w:rPr>
        <w:t>о привлечении к ответственности</w:t>
      </w:r>
      <w:r w:rsidR="007C5396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439D7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</w:t>
      </w:r>
      <w:r w:rsidR="0032478E" w:rsidRPr="00D439D7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439D7">
        <w:rPr>
          <w:rFonts w:ascii="Times New Roman" w:hAnsi="Times New Roman"/>
          <w:sz w:val="28"/>
          <w:szCs w:val="28"/>
        </w:rPr>
        <w:t xml:space="preserve">должностного лица. </w:t>
      </w:r>
      <w:r w:rsidRPr="00D439D7">
        <w:rPr>
          <w:rFonts w:ascii="Times New Roman" w:hAnsi="Times New Roman"/>
          <w:sz w:val="28"/>
          <w:szCs w:val="28"/>
        </w:rPr>
        <w:t xml:space="preserve">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договору, поскольку необоснованно высокий размер оплаты за работы (услуги), явно отличающийся от </w:t>
      </w:r>
      <w:proofErr w:type="spellStart"/>
      <w:r w:rsidRPr="00D439D7">
        <w:rPr>
          <w:rFonts w:ascii="Times New Roman" w:hAnsi="Times New Roman"/>
          <w:sz w:val="28"/>
          <w:szCs w:val="28"/>
        </w:rPr>
        <w:t>среднеустановленного</w:t>
      </w:r>
      <w:proofErr w:type="spellEnd"/>
      <w:r w:rsidRPr="00D439D7">
        <w:rPr>
          <w:rFonts w:ascii="Times New Roman" w:hAnsi="Times New Roman"/>
          <w:sz w:val="28"/>
          <w:szCs w:val="28"/>
        </w:rPr>
        <w:t xml:space="preserve"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7B4AB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случае, если гражданин по последнему месту службы </w:t>
      </w:r>
      <w:r w:rsidR="008F1F8D" w:rsidRPr="00D439D7">
        <w:rPr>
          <w:rFonts w:ascii="Times New Roman" w:hAnsi="Times New Roman"/>
          <w:sz w:val="28"/>
          <w:szCs w:val="28"/>
        </w:rPr>
        <w:t>помимо последней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="008F1F8D" w:rsidRPr="00D439D7">
        <w:rPr>
          <w:rFonts w:ascii="Times New Roman" w:hAnsi="Times New Roman"/>
          <w:sz w:val="28"/>
          <w:szCs w:val="28"/>
        </w:rPr>
        <w:t xml:space="preserve"> службы </w:t>
      </w:r>
      <w:r w:rsidRPr="00D439D7">
        <w:rPr>
          <w:rFonts w:ascii="Times New Roman" w:hAnsi="Times New Roman"/>
          <w:sz w:val="28"/>
          <w:szCs w:val="28"/>
        </w:rPr>
        <w:t>замещал иные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7A2EDF" w:rsidRPr="00D439D7">
        <w:rPr>
          <w:rFonts w:ascii="Times New Roman" w:hAnsi="Times New Roman"/>
          <w:sz w:val="28"/>
          <w:szCs w:val="28"/>
        </w:rPr>
        <w:t xml:space="preserve">, находящиеся в соответствующем перечне, установленном Указом № 557, правовыми актами </w:t>
      </w:r>
      <w:r w:rsidR="007A2EDF"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="007A2EDF" w:rsidRPr="00D439D7">
        <w:rPr>
          <w:rFonts w:ascii="Times New Roman" w:hAnsi="Times New Roman"/>
          <w:sz w:val="28"/>
          <w:szCs w:val="28"/>
        </w:rPr>
        <w:t xml:space="preserve"> государственных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="007A2EDF" w:rsidRPr="00D439D7">
        <w:rPr>
          <w:rFonts w:ascii="Times New Roman" w:hAnsi="Times New Roman"/>
          <w:sz w:val="28"/>
          <w:szCs w:val="28"/>
        </w:rPr>
        <w:t xml:space="preserve"> органов</w:t>
      </w:r>
      <w:r w:rsidRPr="00D439D7">
        <w:rPr>
          <w:rFonts w:ascii="Times New Roman" w:hAnsi="Times New Roman"/>
          <w:sz w:val="28"/>
          <w:szCs w:val="28"/>
        </w:rPr>
        <w:t>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</w:t>
      </w:r>
      <w:r w:rsidR="00056C00" w:rsidRPr="00D439D7">
        <w:rPr>
          <w:rFonts w:ascii="Times New Roman" w:hAnsi="Times New Roman"/>
          <w:sz w:val="28"/>
          <w:szCs w:val="28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</w:rPr>
        <w:t>управлению коммерческой (некоммерческой)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В случае, если в ходе проверочных мероприятий установлено, что гражданин, замещая должность</w:t>
      </w:r>
      <w:r w:rsidR="008F1F8D" w:rsidRPr="00D439D7">
        <w:rPr>
          <w:rFonts w:ascii="Times New Roman" w:hAnsi="Times New Roman"/>
          <w:sz w:val="28"/>
          <w:szCs w:val="28"/>
        </w:rPr>
        <w:t xml:space="preserve">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8F1F8D" w:rsidRPr="00D439D7">
        <w:rPr>
          <w:rFonts w:ascii="Times New Roman" w:hAnsi="Times New Roman"/>
          <w:sz w:val="28"/>
          <w:szCs w:val="28"/>
        </w:rPr>
        <w:t>службы</w:t>
      </w:r>
      <w:r w:rsidRPr="00D439D7">
        <w:rPr>
          <w:rFonts w:ascii="Times New Roman" w:hAnsi="Times New Roman"/>
          <w:sz w:val="28"/>
          <w:szCs w:val="28"/>
        </w:rPr>
        <w:t xml:space="preserve">, никаким образом не осуществлял функции </w:t>
      </w:r>
      <w:r w:rsidR="00056C00" w:rsidRPr="00D439D7">
        <w:rPr>
          <w:rFonts w:ascii="Times New Roman" w:hAnsi="Times New Roman"/>
          <w:sz w:val="28"/>
          <w:szCs w:val="28"/>
        </w:rPr>
        <w:t xml:space="preserve">по государственному, муниципальному (административному) управлению </w:t>
      </w:r>
      <w:r w:rsidRPr="00D439D7">
        <w:rPr>
          <w:rFonts w:ascii="Times New Roman" w:hAnsi="Times New Roman"/>
          <w:sz w:val="28"/>
          <w:szCs w:val="28"/>
        </w:rPr>
        <w:t>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информации, содержащей основания для проведения заседания комиссии: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организует ознакомление членов комиссии и других лиц, участвующих в заседании комиссии, с информацией, поступившей в подразделение государственного</w:t>
      </w:r>
      <w:r w:rsidR="00EF2F0E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ответственному за работу по профилактике коррупционных и иных правонарушений, и с результатами ее проверки;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(муниципальные) </w:t>
      </w:r>
      <w:r w:rsidRPr="00D439D7">
        <w:rPr>
          <w:rFonts w:ascii="Times New Roman" w:hAnsi="Times New Roman"/>
          <w:sz w:val="28"/>
          <w:szCs w:val="28"/>
        </w:rPr>
        <w:t xml:space="preserve">служащие, замещающие должности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>органе; специалисты, которые могут дать пояснения по вопросам государственной</w:t>
      </w:r>
      <w:r w:rsidR="004E7216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</w:t>
      </w:r>
      <w:r w:rsidRPr="00D439D7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наличие соответствующего обращения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</w:t>
      </w:r>
      <w:r w:rsidR="00B9674A" w:rsidRPr="00D439D7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9674A"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</w:t>
      </w:r>
      <w:r w:rsidRPr="00D439D7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 подготовленным мотивированным заключением рекомендуется ознакомить гражданина до заседания комиссии</w:t>
      </w:r>
      <w:r w:rsidR="00CE4CD8" w:rsidRPr="00D439D7">
        <w:rPr>
          <w:rFonts w:ascii="Times New Roman" w:hAnsi="Times New Roman"/>
          <w:sz w:val="28"/>
          <w:szCs w:val="28"/>
        </w:rPr>
        <w:t xml:space="preserve">. </w:t>
      </w:r>
      <w:r w:rsidR="007B4ABA" w:rsidRPr="00D439D7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439D7">
        <w:rPr>
          <w:rFonts w:ascii="Times New Roman" w:hAnsi="Times New Roman"/>
          <w:sz w:val="28"/>
          <w:szCs w:val="28"/>
        </w:rPr>
        <w:t>н</w:t>
      </w:r>
      <w:r w:rsidR="007B4ABA" w:rsidRPr="00D439D7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439D7" w:rsidRDefault="00B30F6A" w:rsidP="003D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B30F6A" w:rsidRPr="00D439D7" w:rsidRDefault="00B30F6A" w:rsidP="004C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  <w:r w:rsidR="004C3F5C" w:rsidRPr="00D439D7">
        <w:rPr>
          <w:rFonts w:ascii="Times New Roman" w:hAnsi="Times New Roman"/>
          <w:b/>
          <w:sz w:val="28"/>
          <w:szCs w:val="28"/>
        </w:rPr>
        <w:t>г</w:t>
      </w:r>
      <w:r w:rsidRPr="00D439D7">
        <w:rPr>
          <w:rFonts w:ascii="Times New Roman" w:hAnsi="Times New Roman"/>
          <w:b/>
          <w:sz w:val="28"/>
          <w:szCs w:val="28"/>
        </w:rPr>
        <w:t>осударственного</w:t>
      </w:r>
      <w:r w:rsidR="004C3F5C" w:rsidRPr="00D439D7">
        <w:rPr>
          <w:rFonts w:ascii="Times New Roman" w:hAnsi="Times New Roman"/>
          <w:b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b/>
          <w:sz w:val="28"/>
          <w:szCs w:val="28"/>
        </w:rPr>
        <w:t xml:space="preserve"> органа, в котором гражданин замещал должность</w:t>
      </w:r>
    </w:p>
    <w:p w:rsidR="00B30F6A" w:rsidRPr="00D439D7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в период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гражданину рекомендуется </w:t>
      </w:r>
      <w:r w:rsidRPr="00D439D7">
        <w:rPr>
          <w:rFonts w:ascii="Times New Roman" w:hAnsi="Times New Roman"/>
          <w:sz w:val="28"/>
          <w:szCs w:val="28"/>
        </w:rPr>
        <w:lastRenderedPageBreak/>
        <w:t>представлять обращение о даче согласия в установленном порядке в упраздняемый государственный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орган.</w:t>
      </w:r>
    </w:p>
    <w:p w:rsidR="00B30F6A" w:rsidRPr="00D439D7" w:rsidRDefault="0082651B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После завершения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>органа вышеназванные сведения следует направлять в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орган, который является правопреемником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40E6F" w:rsidRPr="00D439D7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E40E6F" w:rsidRPr="00D439D7">
        <w:rPr>
          <w:rFonts w:ascii="Times New Roman" w:hAnsi="Times New Roman"/>
          <w:sz w:val="28"/>
          <w:szCs w:val="28"/>
        </w:rPr>
        <w:t>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если функции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распределены между несколькими правопреемниками (к примеру, в соответствии с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орган, которому были переданы функции, на реализацию которых было направлено исполнение государственным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 по ранее замещаемой должности государственной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>службы.</w:t>
      </w:r>
    </w:p>
    <w:p w:rsidR="00CE4CD8" w:rsidRPr="00D439D7" w:rsidRDefault="008A4C9D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</w:t>
      </w:r>
      <w:r w:rsidR="00C02714" w:rsidRPr="00D439D7">
        <w:rPr>
          <w:rFonts w:ascii="Times New Roman" w:hAnsi="Times New Roman"/>
          <w:sz w:val="28"/>
          <w:szCs w:val="28"/>
        </w:rPr>
        <w:t>ам</w:t>
      </w:r>
      <w:r w:rsidRPr="00D439D7">
        <w:rPr>
          <w:rFonts w:ascii="Times New Roman" w:hAnsi="Times New Roman"/>
          <w:sz w:val="28"/>
          <w:szCs w:val="28"/>
        </w:rPr>
        <w:t>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</w:t>
      </w:r>
      <w:r w:rsidR="007A2EDF" w:rsidRPr="00D439D7">
        <w:rPr>
          <w:rFonts w:ascii="Times New Roman" w:hAnsi="Times New Roman"/>
          <w:sz w:val="28"/>
          <w:szCs w:val="28"/>
        </w:rPr>
        <w:t>а</w:t>
      </w:r>
      <w:r w:rsidRPr="00D439D7">
        <w:rPr>
          <w:rFonts w:ascii="Times New Roman" w:hAnsi="Times New Roman"/>
          <w:sz w:val="28"/>
          <w:szCs w:val="28"/>
        </w:rPr>
        <w:t>ции о приеме на работу бывшего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</w:t>
      </w:r>
      <w:r w:rsidR="00C02714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439D7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439D7" w:rsidRDefault="00CE4CD8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</w:t>
      </w:r>
      <w:r w:rsidR="00CB2F43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случае, если ликвидация осуществляется без правопреемства заявление следует направлять в орган, которому переданы функции государственного</w:t>
      </w:r>
      <w:r w:rsidR="00D439D7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E40E6F" w:rsidRPr="00D439D7">
        <w:rPr>
          <w:rFonts w:ascii="Times New Roman" w:hAnsi="Times New Roman"/>
          <w:sz w:val="28"/>
          <w:szCs w:val="28"/>
        </w:rPr>
        <w:t>муниципального</w:t>
      </w:r>
      <w:r w:rsidR="00D439D7" w:rsidRPr="00D439D7">
        <w:rPr>
          <w:rFonts w:ascii="Times New Roman" w:hAnsi="Times New Roman"/>
          <w:sz w:val="28"/>
          <w:szCs w:val="28"/>
        </w:rPr>
        <w:t xml:space="preserve"> (административного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управления в соотве</w:t>
      </w:r>
      <w:r w:rsidR="00C02714" w:rsidRPr="00D439D7">
        <w:rPr>
          <w:rFonts w:ascii="Times New Roman" w:hAnsi="Times New Roman"/>
          <w:sz w:val="28"/>
          <w:szCs w:val="28"/>
        </w:rPr>
        <w:t>т</w:t>
      </w:r>
      <w:r w:rsidRPr="00D439D7">
        <w:rPr>
          <w:rFonts w:ascii="Times New Roman" w:hAnsi="Times New Roman"/>
          <w:sz w:val="28"/>
          <w:szCs w:val="28"/>
        </w:rPr>
        <w:t>ствующей сфере.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рассмотрении комиссией обращения гражданина анализируются</w:t>
      </w:r>
      <w:r w:rsidR="00356C4D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в том числе должностные обязанности, содержащиеся в должностном регламенте </w:t>
      </w:r>
      <w:r w:rsidR="00356C4D" w:rsidRPr="00D439D7">
        <w:rPr>
          <w:rFonts w:ascii="Times New Roman" w:hAnsi="Times New Roman"/>
          <w:sz w:val="28"/>
          <w:szCs w:val="28"/>
        </w:rPr>
        <w:t xml:space="preserve">(должностной инструкции) </w:t>
      </w:r>
      <w:r w:rsidRPr="00D439D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33.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2004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 (далее - Федеральный закон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79-ФЗ) должностной регламент является одним из существенных условий служебного контракта.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="00E40E6F" w:rsidRPr="00D439D7">
        <w:t xml:space="preserve"> </w:t>
      </w:r>
      <w:r w:rsidR="00E40E6F"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356C4D" w:rsidRPr="00D439D7">
        <w:rPr>
          <w:rFonts w:ascii="Times New Roman" w:hAnsi="Times New Roman"/>
          <w:sz w:val="28"/>
          <w:szCs w:val="28"/>
        </w:rPr>
        <w:t xml:space="preserve">Частью 6 </w:t>
      </w:r>
      <w:hyperlink r:id="rId21" w:history="1">
        <w:r w:rsidR="00356C4D" w:rsidRPr="00D439D7">
          <w:rPr>
            <w:rFonts w:ascii="Times New Roman" w:hAnsi="Times New Roman"/>
            <w:sz w:val="28"/>
            <w:szCs w:val="28"/>
          </w:rPr>
          <w:t>ст</w:t>
        </w:r>
        <w:r w:rsidRPr="00D439D7">
          <w:rPr>
            <w:rFonts w:ascii="Times New Roman" w:hAnsi="Times New Roman"/>
            <w:sz w:val="28"/>
            <w:szCs w:val="28"/>
          </w:rPr>
          <w:t>ать</w:t>
        </w:r>
        <w:r w:rsidR="00356C4D" w:rsidRPr="00D439D7">
          <w:rPr>
            <w:rFonts w:ascii="Times New Roman" w:hAnsi="Times New Roman"/>
            <w:sz w:val="28"/>
            <w:szCs w:val="28"/>
          </w:rPr>
          <w:t>и </w:t>
        </w:r>
        <w:r w:rsidRPr="00D439D7">
          <w:rPr>
            <w:rFonts w:ascii="Times New Roman" w:hAnsi="Times New Roman"/>
            <w:sz w:val="28"/>
            <w:szCs w:val="28"/>
          </w:rPr>
          <w:t>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79-ФЗ установлено, что при расторжении служебного контракта и увольнении с </w:t>
      </w:r>
      <w:r w:rsidR="00A32B8A" w:rsidRPr="00D439D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439D7">
        <w:rPr>
          <w:rFonts w:ascii="Times New Roman" w:hAnsi="Times New Roman"/>
          <w:sz w:val="28"/>
          <w:szCs w:val="28"/>
        </w:rPr>
        <w:t xml:space="preserve">гражданской службы личное дело </w:t>
      </w:r>
      <w:r w:rsidR="00356C4D" w:rsidRPr="00D439D7">
        <w:rPr>
          <w:rFonts w:ascii="Times New Roman" w:hAnsi="Times New Roman"/>
          <w:sz w:val="28"/>
          <w:szCs w:val="28"/>
        </w:rPr>
        <w:t xml:space="preserve">гражданского служащего </w:t>
      </w:r>
      <w:r w:rsidRPr="00D439D7">
        <w:rPr>
          <w:rFonts w:ascii="Times New Roman" w:hAnsi="Times New Roman"/>
          <w:sz w:val="28"/>
          <w:szCs w:val="28"/>
        </w:rPr>
        <w:t>в установленном порядке сдается в архив этого государственного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36.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E40E6F" w:rsidRPr="00D439D7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от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25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августа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2010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</w:t>
      </w:r>
      <w:r w:rsidR="00E40E6F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муниципальных</w:t>
      </w:r>
      <w:r w:rsidR="00E40E6F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служащих, относятся к типовым управленческим архивным документам, а срок их хранения составляет 75 лет.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37.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октября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 «Об архивном деле в Российской Федерации» (далее - Федеральный закон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125-ФЗ) указанные личные дела включаются в состав Архивного фонда Российской Федерации.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38.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при поступлении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орган, который является правопреемником другого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439D7" w:rsidRDefault="00B30F6A" w:rsidP="00CE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О намерении лично присутствовать на заседании комиссии гражданин указывает в обращении.</w:t>
      </w:r>
    </w:p>
    <w:p w:rsidR="00B30F6A" w:rsidRPr="00D439D7" w:rsidRDefault="00B30F6A" w:rsidP="00E25063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Согласно пункту 19.1 Положения о комиссии заседания комиссии могут проводиться в отсутствие гражданина в случае:</w:t>
      </w:r>
    </w:p>
    <w:p w:rsidR="00B30F6A" w:rsidRPr="00D439D7" w:rsidRDefault="00B30F6A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tab/>
        <w:t>а)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в обращении не содержится указания о намерении гражданина лично присутствовать на заседании комиссии;</w:t>
      </w:r>
    </w:p>
    <w:p w:rsidR="00B30F6A" w:rsidRPr="00D439D7" w:rsidRDefault="00B30F6A" w:rsidP="00CE169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0F6A" w:rsidRPr="00D439D7" w:rsidRDefault="00B30F6A" w:rsidP="00F5659D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</w:t>
      </w:r>
      <w:r w:rsidRPr="00D439D7">
        <w:rPr>
          <w:rFonts w:ascii="Times New Roman" w:hAnsi="Times New Roman"/>
          <w:sz w:val="28"/>
          <w:szCs w:val="28"/>
        </w:rPr>
        <w:lastRenderedPageBreak/>
        <w:t>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Указанные сроки начинают действовать с момента </w:t>
      </w:r>
      <w:r w:rsidR="00C02714" w:rsidRPr="00D439D7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Pr="00D439D7">
        <w:rPr>
          <w:rFonts w:ascii="Times New Roman" w:hAnsi="Times New Roman"/>
          <w:sz w:val="28"/>
          <w:szCs w:val="28"/>
        </w:rPr>
        <w:t>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46.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, муниципальному (административному)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б)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sz w:val="28"/>
          <w:szCs w:val="28"/>
          <w:lang w:eastAsia="ru-RU"/>
        </w:rPr>
        <w:t>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47.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48.</w:t>
      </w:r>
      <w:r w:rsidR="002959F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439D7">
        <w:rPr>
          <w:rFonts w:ascii="Times New Roman" w:hAnsi="Times New Roman"/>
          <w:sz w:val="28"/>
          <w:szCs w:val="28"/>
        </w:rPr>
        <w:t xml:space="preserve">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</w:t>
      </w:r>
      <w:r w:rsidR="00C02714" w:rsidRPr="00D439D7">
        <w:rPr>
          <w:rFonts w:ascii="Times New Roman" w:hAnsi="Times New Roman"/>
          <w:sz w:val="28"/>
          <w:szCs w:val="28"/>
        </w:rPr>
        <w:lastRenderedPageBreak/>
        <w:t>(гражданско-правового) договора с организацией предоставляется гражданину</w:t>
      </w:r>
      <w:r w:rsidRPr="00D439D7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439D7">
        <w:rPr>
          <w:rFonts w:ascii="Times New Roman" w:hAnsi="Times New Roman"/>
          <w:sz w:val="28"/>
          <w:szCs w:val="28"/>
        </w:rPr>
        <w:t>, если гражданин</w:t>
      </w:r>
      <w:r w:rsidR="00C02714" w:rsidRPr="00D439D7">
        <w:rPr>
          <w:rFonts w:ascii="Times New Roman" w:hAnsi="Times New Roman"/>
          <w:sz w:val="28"/>
          <w:szCs w:val="28"/>
        </w:rPr>
        <w:t xml:space="preserve"> не согласен с решением комиссии, он вправе обратиться в комиссию с просьбой о пересмотре этого решения.</w:t>
      </w:r>
      <w:r w:rsidRPr="00D439D7">
        <w:rPr>
          <w:rFonts w:ascii="Times New Roman" w:hAnsi="Times New Roman"/>
          <w:sz w:val="28"/>
          <w:szCs w:val="28"/>
        </w:rPr>
        <w:t xml:space="preserve"> </w:t>
      </w:r>
    </w:p>
    <w:p w:rsidR="00C02714" w:rsidRPr="00D439D7" w:rsidRDefault="00C02714" w:rsidP="00963A1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439D7">
        <w:rPr>
          <w:rFonts w:ascii="Times New Roman" w:hAnsi="Times New Roman"/>
          <w:sz w:val="28"/>
          <w:szCs w:val="28"/>
        </w:rPr>
        <w:t xml:space="preserve">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63A15" w:rsidRPr="00D439D7" w:rsidRDefault="00963A15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51. 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о комиссиях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комиссией факта совершения государственным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</w:t>
      </w:r>
      <w:r w:rsidR="007642B3" w:rsidRPr="00D439D7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2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12 Федерального закона № 273-ФЗ г</w:t>
      </w:r>
      <w:r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439D7">
        <w:rPr>
          <w:rFonts w:ascii="Times New Roman" w:hAnsi="Times New Roman"/>
          <w:sz w:val="28"/>
          <w:szCs w:val="28"/>
        </w:rPr>
        <w:t xml:space="preserve">по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439D7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Pr="00D439D7">
        <w:rPr>
          <w:rFonts w:ascii="Times New Roman" w:hAnsi="Times New Roman"/>
          <w:sz w:val="28"/>
          <w:szCs w:val="28"/>
        </w:rPr>
        <w:lastRenderedPageBreak/>
        <w:t>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439D7" w:rsidRDefault="002B3823" w:rsidP="004C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5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наличии у организации</w:t>
      </w:r>
      <w:r w:rsidR="004C0D3F" w:rsidRPr="00D439D7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Pr="00D439D7">
        <w:rPr>
          <w:rFonts w:ascii="Times New Roman" w:hAnsi="Times New Roman"/>
          <w:sz w:val="28"/>
          <w:szCs w:val="28"/>
        </w:rPr>
        <w:t xml:space="preserve"> замещ</w:t>
      </w:r>
      <w:r w:rsidR="0032478E" w:rsidRPr="00D439D7">
        <w:rPr>
          <w:rFonts w:ascii="Times New Roman" w:hAnsi="Times New Roman"/>
          <w:sz w:val="28"/>
          <w:szCs w:val="28"/>
        </w:rPr>
        <w:t>авший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32478E" w:rsidRPr="00D439D7">
        <w:rPr>
          <w:rFonts w:ascii="Times New Roman" w:hAnsi="Times New Roman"/>
          <w:sz w:val="28"/>
          <w:szCs w:val="28"/>
        </w:rPr>
        <w:t>р</w:t>
      </w:r>
      <w:r w:rsidRPr="00D439D7">
        <w:rPr>
          <w:rFonts w:ascii="Times New Roman" w:hAnsi="Times New Roman"/>
          <w:sz w:val="28"/>
          <w:szCs w:val="28"/>
        </w:rPr>
        <w:t>анее</w:t>
      </w:r>
      <w:r w:rsidR="004C0D3F" w:rsidRPr="00D439D7">
        <w:rPr>
          <w:rFonts w:ascii="Times New Roman" w:hAnsi="Times New Roman"/>
          <w:sz w:val="28"/>
          <w:szCs w:val="28"/>
        </w:rPr>
        <w:t xml:space="preserve"> (в течение двух лет)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F527DD" w:rsidRPr="00D439D7">
        <w:rPr>
          <w:rFonts w:ascii="Times New Roman" w:hAnsi="Times New Roman"/>
          <w:sz w:val="28"/>
          <w:szCs w:val="28"/>
        </w:rPr>
        <w:t xml:space="preserve">должности государственной (муниципальной) службы, включенной в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установленный нормативными правовыми актами перечень,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рекомендуется трудовой договор с указанным гражданином не заключать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439D7" w:rsidRDefault="00CC6934" w:rsidP="004B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CC6934" w:rsidRPr="00D439D7" w:rsidRDefault="00CC6934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6</w:t>
      </w:r>
      <w:r w:rsidRPr="00D439D7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</w:t>
      </w:r>
      <w:r w:rsidR="00E16A21" w:rsidRPr="00D439D7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439D7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439D7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439D7">
        <w:rPr>
          <w:rFonts w:ascii="Times New Roman" w:hAnsi="Times New Roman"/>
          <w:sz w:val="28"/>
          <w:szCs w:val="28"/>
        </w:rPr>
        <w:t xml:space="preserve">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144515" w:rsidP="004B0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</w:t>
      </w:r>
      <w:r w:rsidR="004B0334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</w:t>
      </w:r>
      <w:hyperlink r:id="rId28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течение двух лет после его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</w:t>
      </w:r>
      <w:r w:rsidR="004B0334" w:rsidRPr="00D439D7">
        <w:rPr>
          <w:rFonts w:ascii="Times New Roman" w:hAnsi="Times New Roman"/>
          <w:sz w:val="28"/>
          <w:szCs w:val="28"/>
        </w:rPr>
        <w:t xml:space="preserve"> 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 по последнему месту его службы в </w:t>
      </w:r>
      <w:hyperlink r:id="rId29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439D7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Выяснить у бывшего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государственного 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критерием для сообщения представителю нанимателя (работодателю) о приеме на работу вышеуказанного лица.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Нормативные правовые акты, утверждающие соответствующие перечни должностей указаны в подпункте 1 пункта </w:t>
      </w:r>
      <w:r w:rsidR="00D439D7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служащий проходил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Pr="00D439D7">
        <w:rPr>
          <w:rFonts w:ascii="Times New Roman" w:hAnsi="Times New Roman"/>
          <w:sz w:val="28"/>
          <w:szCs w:val="28"/>
        </w:rPr>
        <w:t>службу.</w:t>
      </w:r>
    </w:p>
    <w:p w:rsidR="00CB1FF5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 w:cs="Times New Roman"/>
          <w:sz w:val="28"/>
          <w:szCs w:val="28"/>
        </w:rPr>
        <w:t>(</w:t>
      </w:r>
      <w:r w:rsidRPr="00D439D7">
        <w:rPr>
          <w:rFonts w:ascii="Times New Roman" w:hAnsi="Times New Roman" w:cs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 w:cs="Times New Roman"/>
          <w:sz w:val="28"/>
          <w:szCs w:val="28"/>
        </w:rPr>
        <w:t>)</w:t>
      </w:r>
      <w:r w:rsidRPr="00D439D7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устанавливается нормативными правовыми актами </w:t>
      </w: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1" w:name="Par3"/>
      <w:bookmarkEnd w:id="1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должность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622670" w:rsidRPr="00D439D7">
        <w:rPr>
          <w:rFonts w:ascii="Times New Roman" w:hAnsi="Times New Roman"/>
          <w:sz w:val="28"/>
          <w:szCs w:val="28"/>
        </w:rPr>
        <w:t>, п</w:t>
      </w:r>
      <w:r w:rsidRPr="00D439D7">
        <w:rPr>
          <w:rFonts w:ascii="Times New Roman" w:hAnsi="Times New Roman"/>
          <w:sz w:val="28"/>
          <w:szCs w:val="28"/>
        </w:rPr>
        <w:t>о сведениям, содержащимся в трудовой книжке;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B30F6A" w:rsidRPr="00D439D7" w:rsidRDefault="00B30F6A" w:rsidP="00CB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D91E2F" w:rsidRPr="00D439D7" w:rsidRDefault="00B30F6A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66. Сообщение направляется по последнему месту службы гражданина в 10-дневный срок со дня заключения трудового (</w:t>
      </w:r>
      <w:r w:rsidR="00D91E2F" w:rsidRPr="00D439D7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CB1FF5" w:rsidRPr="00D439D7" w:rsidRDefault="00CB1F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ситуация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возможн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, например, в отношении </w:t>
      </w:r>
      <w:r w:rsidR="00A27B24" w:rsidRPr="00D439D7"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федеральным министром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а служебный контракт заключается с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руководителем федеральной службы, федеральной агентства</w:t>
      </w:r>
      <w:r w:rsidRPr="00D439D7">
        <w:rPr>
          <w:rFonts w:ascii="Times New Roman" w:hAnsi="Times New Roman"/>
          <w:spacing w:val="-6"/>
          <w:sz w:val="28"/>
          <w:szCs w:val="28"/>
        </w:rPr>
        <w:t>).</w:t>
      </w:r>
    </w:p>
    <w:p w:rsidR="00042CF5" w:rsidRPr="00D439D7" w:rsidRDefault="00042C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 </w:t>
      </w:r>
      <w:r w:rsidR="00D91B4B" w:rsidRPr="00D439D7">
        <w:rPr>
          <w:rFonts w:ascii="Times New Roman" w:hAnsi="Times New Roman"/>
          <w:sz w:val="28"/>
          <w:szCs w:val="28"/>
        </w:rPr>
        <w:t xml:space="preserve">таких </w:t>
      </w:r>
      <w:r w:rsidRPr="00D439D7">
        <w:rPr>
          <w:rFonts w:ascii="Times New Roman" w:hAnsi="Times New Roman"/>
          <w:sz w:val="28"/>
          <w:szCs w:val="28"/>
        </w:rPr>
        <w:t>случа</w:t>
      </w:r>
      <w:r w:rsidR="00D91B4B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 xml:space="preserve"> сообщение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 заключении с гражданином - бывшим государственным (муниципальным) служащим трудового (гражданско-правового) договора рекомендуется направлять 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>как в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лица, заключившего с ним служебный контракт, так и в организацию, приявшую решение о назначении </w:t>
      </w:r>
      <w:r w:rsidR="00C92B21" w:rsidRPr="00D439D7">
        <w:rPr>
          <w:rFonts w:ascii="Times New Roman" w:hAnsi="Times New Roman"/>
          <w:sz w:val="28"/>
          <w:szCs w:val="28"/>
          <w:lang w:eastAsia="ru-RU"/>
        </w:rPr>
        <w:t>его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на должность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82651B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67</w:t>
      </w:r>
      <w:r w:rsidR="00B30F6A" w:rsidRPr="00D439D7">
        <w:rPr>
          <w:rFonts w:ascii="Times New Roman" w:hAnsi="Times New Roman"/>
          <w:sz w:val="28"/>
          <w:szCs w:val="28"/>
        </w:rPr>
        <w:t xml:space="preserve">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B30F6A" w:rsidRPr="00D439D7" w:rsidRDefault="00B30F6A" w:rsidP="005C40B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439D7" w:rsidRDefault="00B30F6A" w:rsidP="005C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30F6A" w:rsidRPr="00D439D7" w:rsidRDefault="0082651B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  <w:r w:rsidR="00D439D7" w:rsidRPr="00D4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D439D7" w:rsidRPr="00D439D7" w:rsidRDefault="00D439D7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4</w:t>
      </w:r>
      <w:r w:rsidRPr="00D439D7">
        <w:rPr>
          <w:rFonts w:ascii="Times New Roman" w:hAnsi="Times New Roman" w:cs="Times New Roman"/>
          <w:sz w:val="28"/>
          <w:szCs w:val="28"/>
        </w:rPr>
        <w:t>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B30F6A" w:rsidRPr="00D439D7" w:rsidRDefault="00B30F6A" w:rsidP="007E16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5</w:t>
      </w:r>
      <w:r w:rsidRPr="00D439D7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30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договора либо к выполнению работ или оказанию услуг на условиях гражданско-правового договора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замещающего должность, включенную в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33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B30F6A" w:rsidRPr="00D439D7" w:rsidRDefault="00B30F6A" w:rsidP="00D73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4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B30F6A" w:rsidRPr="00D439D7" w:rsidRDefault="00B30F6A" w:rsidP="00040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Pr="00D439D7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состоять:</w:t>
      </w:r>
    </w:p>
    <w:p w:rsidR="00B30F6A" w:rsidRPr="00D439D7" w:rsidRDefault="00B30F6A" w:rsidP="0004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</w:t>
      </w:r>
      <w:r w:rsidR="00CD3A4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30F6A" w:rsidRPr="00D439D7" w:rsidRDefault="00B30F6A" w:rsidP="00050BA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439D7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не получения согласия комиссии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,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частности организации было известно об осуществлении функций государственного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(административного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</w:t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lastRenderedPageBreak/>
        <w:t xml:space="preserve">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5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силу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82651B" w:rsidRPr="00D439D7" w:rsidRDefault="0082651B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органе, требований </w:t>
      </w:r>
      <w:hyperlink r:id="rId39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="00693A82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подпунктом «д» пункта 16 Положения о комиссиях основанием для проведения заседания комиссии является поступившее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>орган уведомление при следующих условиях: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</w:t>
      </w:r>
      <w:r w:rsidR="00622670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органа по профилактике коррупционных и иных правонарушений </w:t>
      </w:r>
      <w:r w:rsidR="00BB79B7" w:rsidRPr="00D439D7">
        <w:rPr>
          <w:rFonts w:ascii="Times New Roman" w:hAnsi="Times New Roman"/>
          <w:sz w:val="28"/>
          <w:szCs w:val="28"/>
        </w:rPr>
        <w:t xml:space="preserve">рекомендуется </w:t>
      </w:r>
      <w:r w:rsidRPr="00D439D7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AE2F2A" w:rsidRDefault="00B30F6A" w:rsidP="00AE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Уведомление работодателя рассматривается в том же порядке, что и обращение гражданина на основании пункта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8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="00455D9A" w:rsidRPr="00D439D7">
        <w:rPr>
          <w:rFonts w:ascii="Times New Roman" w:hAnsi="Times New Roman" w:cs="Times New Roman"/>
          <w:sz w:val="28"/>
          <w:szCs w:val="28"/>
        </w:rPr>
        <w:t>. </w:t>
      </w:r>
      <w:r w:rsidRPr="00D439D7">
        <w:rPr>
          <w:rFonts w:ascii="Times New Roman" w:hAnsi="Times New Roman" w:cs="Times New Roman"/>
          <w:sz w:val="28"/>
          <w:szCs w:val="28"/>
        </w:rPr>
        <w:t>На осн</w:t>
      </w:r>
      <w:r w:rsidR="00404B72" w:rsidRPr="00D439D7">
        <w:rPr>
          <w:rFonts w:ascii="Times New Roman" w:hAnsi="Times New Roman" w:cs="Times New Roman"/>
          <w:sz w:val="28"/>
          <w:szCs w:val="28"/>
        </w:rPr>
        <w:t>овании пункта </w:t>
      </w:r>
      <w:r w:rsidRPr="00D439D7">
        <w:rPr>
          <w:rFonts w:ascii="Times New Roman" w:hAnsi="Times New Roman" w:cs="Times New Roman"/>
          <w:sz w:val="28"/>
          <w:szCs w:val="28"/>
        </w:rPr>
        <w:t xml:space="preserve">26.1 Положения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о комиссиях </w:t>
      </w:r>
      <w:r w:rsidRPr="00D439D7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коммерческой (некоммерческой) организации в отношении гражданина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439D7">
        <w:rPr>
          <w:rFonts w:ascii="Times New Roman" w:hAnsi="Times New Roman" w:cs="Times New Roman"/>
          <w:sz w:val="28"/>
          <w:szCs w:val="28"/>
        </w:rPr>
        <w:t>принимает</w:t>
      </w:r>
      <w:r w:rsidR="00693A82" w:rsidRPr="00D439D7">
        <w:rPr>
          <w:rFonts w:ascii="Times New Roman" w:hAnsi="Times New Roman" w:cs="Times New Roman"/>
          <w:sz w:val="28"/>
          <w:szCs w:val="28"/>
        </w:rPr>
        <w:t>ся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</w:t>
      </w:r>
      <w:r w:rsidR="00622670" w:rsidRPr="00D439D7">
        <w:rPr>
          <w:rFonts w:ascii="Times New Roman" w:hAnsi="Times New Roman"/>
          <w:sz w:val="28"/>
          <w:szCs w:val="28"/>
        </w:rPr>
        <w:t xml:space="preserve">ные функции по государственному, </w:t>
      </w:r>
      <w:r w:rsidR="00693A82" w:rsidRPr="00D439D7">
        <w:rPr>
          <w:rFonts w:ascii="Times New Roman" w:hAnsi="Times New Roman"/>
          <w:sz w:val="28"/>
          <w:szCs w:val="28"/>
        </w:rPr>
        <w:t>муниципальному</w:t>
      </w:r>
      <w:r w:rsidR="00622670" w:rsidRPr="00D439D7">
        <w:rPr>
          <w:rFonts w:ascii="Times New Roman" w:hAnsi="Times New Roman"/>
          <w:sz w:val="28"/>
          <w:szCs w:val="28"/>
        </w:rPr>
        <w:t xml:space="preserve"> (административному</w:t>
      </w:r>
      <w:r w:rsidR="00693A82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40" w:history="1">
        <w:r w:rsidRPr="00D439D7">
          <w:rPr>
            <w:rFonts w:ascii="Times New Roman" w:hAnsi="Times New Roman"/>
            <w:sz w:val="28"/>
            <w:szCs w:val="28"/>
          </w:rPr>
          <w:t>статьи</w:t>
        </w:r>
        <w:r w:rsidR="00693A82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B79B7" w:rsidRPr="00D439D7">
        <w:rPr>
          <w:rFonts w:ascii="Times New Roman" w:hAnsi="Times New Roman"/>
          <w:sz w:val="28"/>
          <w:szCs w:val="28"/>
        </w:rPr>
        <w:t>О</w:t>
      </w:r>
      <w:r w:rsidRPr="00D439D7">
        <w:rPr>
          <w:rFonts w:ascii="Times New Roman" w:hAnsi="Times New Roman"/>
          <w:sz w:val="28"/>
          <w:szCs w:val="28"/>
        </w:rPr>
        <w:t>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</w:t>
      </w:r>
      <w:r w:rsidR="00BB79B7" w:rsidRPr="00D439D7">
        <w:rPr>
          <w:rFonts w:ascii="Times New Roman" w:hAnsi="Times New Roman"/>
          <w:sz w:val="28"/>
          <w:szCs w:val="28"/>
        </w:rPr>
        <w:t xml:space="preserve">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</w:t>
      </w:r>
      <w:r w:rsidRPr="00D439D7">
        <w:rPr>
          <w:rFonts w:ascii="Times New Roman" w:hAnsi="Times New Roman"/>
          <w:sz w:val="28"/>
          <w:szCs w:val="28"/>
        </w:rPr>
        <w:t xml:space="preserve">.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</w:t>
      </w:r>
      <w:r w:rsidR="00455D9A" w:rsidRPr="00D439D7">
        <w:rPr>
          <w:rFonts w:ascii="Times New Roman" w:hAnsi="Times New Roman"/>
          <w:sz w:val="28"/>
          <w:szCs w:val="28"/>
        </w:rPr>
        <w:t>после его заключения.</w:t>
      </w:r>
    </w:p>
    <w:p w:rsidR="00B30F6A" w:rsidRPr="00D439D7" w:rsidRDefault="00B30F6A" w:rsidP="00F527D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1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D439D7">
        <w:rPr>
          <w:rFonts w:ascii="Times New Roman" w:hAnsi="Times New Roman" w:cs="Times New Roman"/>
          <w:sz w:val="28"/>
          <w:szCs w:val="28"/>
        </w:rPr>
        <w:t xml:space="preserve">ммерческую) организацию </w:t>
      </w:r>
      <w:r w:rsidR="001D4BC8" w:rsidRPr="00D439D7">
        <w:rPr>
          <w:rFonts w:ascii="Times New Roman" w:hAnsi="Times New Roman" w:cs="Times New Roman"/>
          <w:sz w:val="28"/>
          <w:szCs w:val="28"/>
        </w:rPr>
        <w:t>в 7-дневный срок (п</w:t>
      </w:r>
      <w:r w:rsidR="00404B72" w:rsidRPr="00D439D7">
        <w:rPr>
          <w:rFonts w:ascii="Times New Roman" w:hAnsi="Times New Roman" w:cs="Times New Roman"/>
          <w:sz w:val="28"/>
          <w:szCs w:val="28"/>
        </w:rPr>
        <w:t>ункт</w:t>
      </w:r>
      <w:r w:rsidR="001D4BC8" w:rsidRPr="00D439D7">
        <w:rPr>
          <w:rFonts w:ascii="Times New Roman" w:hAnsi="Times New Roman" w:cs="Times New Roman"/>
          <w:sz w:val="28"/>
          <w:szCs w:val="28"/>
        </w:rPr>
        <w:t> </w:t>
      </w:r>
      <w:r w:rsidR="00E16A21" w:rsidRPr="00D439D7">
        <w:rPr>
          <w:rFonts w:ascii="Times New Roman" w:hAnsi="Times New Roman" w:cs="Times New Roman"/>
          <w:sz w:val="28"/>
          <w:szCs w:val="28"/>
        </w:rPr>
        <w:t>33 Положения</w:t>
      </w:r>
      <w:r w:rsidR="00404B72" w:rsidRPr="00D439D7">
        <w:rPr>
          <w:rFonts w:ascii="Times New Roman" w:hAnsi="Times New Roman" w:cs="Times New Roman"/>
          <w:sz w:val="28"/>
          <w:szCs w:val="28"/>
        </w:rPr>
        <w:t xml:space="preserve"> о комиссиях</w:t>
      </w:r>
      <w:r w:rsidR="00E16A21" w:rsidRPr="00D439D7">
        <w:rPr>
          <w:rFonts w:ascii="Times New Roman" w:hAnsi="Times New Roman" w:cs="Times New Roman"/>
          <w:sz w:val="28"/>
          <w:szCs w:val="28"/>
        </w:rPr>
        <w:t>).</w:t>
      </w:r>
    </w:p>
    <w:p w:rsidR="00B97B94" w:rsidRPr="00D439D7" w:rsidRDefault="004B30A5" w:rsidP="00B97B94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2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При отсутствии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 в течение 6 месяцев сведений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Pr="00D439D7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439D7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 рекомендуется соответствующую информацию направлять в органы прокуратуры</w:t>
      </w:r>
      <w:r w:rsidR="002A4521" w:rsidRPr="00D439D7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439D7">
        <w:rPr>
          <w:rFonts w:ascii="Times New Roman" w:hAnsi="Times New Roman" w:cs="Times New Roman"/>
          <w:sz w:val="28"/>
          <w:szCs w:val="28"/>
        </w:rPr>
        <w:t>.</w:t>
      </w:r>
      <w:r w:rsidR="006A3BC7" w:rsidRPr="00D4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439D7" w:rsidRDefault="00B30F6A" w:rsidP="00325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</w:t>
      </w:r>
      <w:r w:rsidR="00622670" w:rsidRPr="00D439D7">
        <w:rPr>
          <w:rFonts w:ascii="Times New Roman" w:hAnsi="Times New Roman"/>
          <w:sz w:val="28"/>
          <w:szCs w:val="28"/>
          <w:lang w:eastAsia="ru-RU"/>
        </w:rPr>
        <w:t>, муниципального (административного)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правления данной организацией входили в должностные (служебные) обязанности 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0F6A" w:rsidRPr="00D439D7" w:rsidRDefault="00B30F6A" w:rsidP="0032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="00455D9A" w:rsidRPr="00D439D7">
        <w:rPr>
          <w:rFonts w:ascii="Times New Roman" w:hAnsi="Times New Roman"/>
          <w:sz w:val="28"/>
          <w:szCs w:val="28"/>
        </w:rPr>
        <w:t>. П</w:t>
      </w:r>
      <w:r w:rsidRPr="00D439D7">
        <w:rPr>
          <w:rFonts w:ascii="Times New Roman" w:hAnsi="Times New Roman"/>
          <w:sz w:val="28"/>
          <w:szCs w:val="28"/>
        </w:rPr>
        <w:t>редусмотренное статьей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</w:t>
      </w:r>
      <w:r w:rsidR="005F414E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Pr="00D439D7">
        <w:rPr>
          <w:rFonts w:ascii="Times New Roman" w:hAnsi="Times New Roman"/>
          <w:sz w:val="28"/>
          <w:szCs w:val="28"/>
        </w:rPr>
        <w:t xml:space="preserve">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</w:t>
      </w:r>
      <w:r w:rsidR="005F414E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</w:t>
      </w:r>
      <w:r w:rsidR="00455D9A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B30F6A" w:rsidP="001D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статьей 12 Федерального закона </w:t>
      </w:r>
      <w:r w:rsidRPr="00D439D7">
        <w:rPr>
          <w:rFonts w:ascii="Times New Roman" w:hAnsi="Times New Roman"/>
          <w:sz w:val="28"/>
          <w:szCs w:val="28"/>
        </w:rPr>
        <w:lastRenderedPageBreak/>
        <w:t>№ 273-ФЗ, государственному (муниципальному) органу необходимо информировать об этом прокуратуру, на которую в соответствии с</w:t>
      </w:r>
      <w:r w:rsidR="00AE2F2A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sectPr w:rsidR="00B30F6A" w:rsidRPr="00D651C9" w:rsidSect="0010231C">
      <w:headerReference w:type="default" r:id="rId41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EC" w:rsidRDefault="002E3FEC" w:rsidP="00CD08BD">
      <w:pPr>
        <w:spacing w:after="0" w:line="240" w:lineRule="auto"/>
      </w:pPr>
      <w:r>
        <w:separator/>
      </w:r>
    </w:p>
  </w:endnote>
  <w:endnote w:type="continuationSeparator" w:id="0">
    <w:p w:rsidR="002E3FEC" w:rsidRDefault="002E3FEC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EC" w:rsidRDefault="002E3FEC" w:rsidP="00CD08BD">
      <w:pPr>
        <w:spacing w:after="0" w:line="240" w:lineRule="auto"/>
      </w:pPr>
      <w:r>
        <w:separator/>
      </w:r>
    </w:p>
  </w:footnote>
  <w:footnote w:type="continuationSeparator" w:id="0">
    <w:p w:rsidR="002E3FEC" w:rsidRDefault="002E3FEC" w:rsidP="00CD08BD">
      <w:pPr>
        <w:spacing w:after="0" w:line="240" w:lineRule="auto"/>
      </w:pPr>
      <w:r>
        <w:continuationSeparator/>
      </w:r>
    </w:p>
  </w:footnote>
  <w:footnote w:id="1">
    <w:p w:rsidR="002269EF" w:rsidRDefault="002F1F81" w:rsidP="0003223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a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>президиума Совета при Президенте Российской Федерации по противодействию коррупции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 xml:space="preserve"> в связи с </w:t>
      </w:r>
      <w:r w:rsidRPr="00D651C9">
        <w:rPr>
          <w:rFonts w:ascii="Times New Roman" w:hAnsi="Times New Roman"/>
          <w:sz w:val="20"/>
          <w:szCs w:val="20"/>
        </w:rPr>
        <w:t>замещ</w:t>
      </w:r>
      <w:r w:rsidR="00032233" w:rsidRPr="00D651C9">
        <w:rPr>
          <w:rFonts w:ascii="Times New Roman" w:hAnsi="Times New Roman"/>
          <w:sz w:val="20"/>
          <w:szCs w:val="20"/>
        </w:rPr>
        <w:t>ением</w:t>
      </w:r>
      <w:r w:rsidRPr="00D651C9">
        <w:rPr>
          <w:rFonts w:ascii="Times New Roman" w:hAnsi="Times New Roman"/>
          <w:sz w:val="20"/>
          <w:szCs w:val="20"/>
        </w:rPr>
        <w:t xml:space="preserve"> </w:t>
      </w:r>
      <w:r w:rsidR="00032233" w:rsidRPr="00D651C9">
        <w:rPr>
          <w:rFonts w:ascii="Times New Roman" w:hAnsi="Times New Roman"/>
          <w:sz w:val="20"/>
          <w:szCs w:val="20"/>
        </w:rPr>
        <w:t xml:space="preserve">ими ранее </w:t>
      </w:r>
      <w:r w:rsidRPr="00D651C9">
        <w:rPr>
          <w:rFonts w:ascii="Times New Roman" w:hAnsi="Times New Roman"/>
          <w:sz w:val="20"/>
          <w:szCs w:val="20"/>
        </w:rPr>
        <w:t>должност</w:t>
      </w:r>
      <w:r w:rsidR="00032233" w:rsidRPr="00D651C9">
        <w:rPr>
          <w:rFonts w:ascii="Times New Roman" w:hAnsi="Times New Roman"/>
          <w:sz w:val="20"/>
          <w:szCs w:val="20"/>
        </w:rPr>
        <w:t>ей</w:t>
      </w:r>
      <w:r w:rsidRPr="00D651C9">
        <w:rPr>
          <w:rFonts w:ascii="Times New Roman" w:hAnsi="Times New Roman"/>
          <w:sz w:val="20"/>
          <w:szCs w:val="20"/>
        </w:rPr>
        <w:t xml:space="preserve"> федеральной государственной службы указанны</w:t>
      </w:r>
      <w:r w:rsidR="00032233" w:rsidRPr="00D651C9">
        <w:rPr>
          <w:rFonts w:ascii="Times New Roman" w:hAnsi="Times New Roman"/>
          <w:sz w:val="20"/>
          <w:szCs w:val="20"/>
        </w:rPr>
        <w:t>х</w:t>
      </w:r>
      <w:r w:rsidRPr="00D651C9">
        <w:rPr>
          <w:rFonts w:ascii="Times New Roman" w:hAnsi="Times New Roman"/>
          <w:sz w:val="20"/>
          <w:szCs w:val="20"/>
        </w:rPr>
        <w:t xml:space="preserve"> в подпункте </w:t>
      </w:r>
      <w:r w:rsidR="00CD3A4D" w:rsidRPr="00CD3A4D">
        <w:rPr>
          <w:rFonts w:ascii="Times New Roman" w:hAnsi="Times New Roman"/>
          <w:sz w:val="20"/>
          <w:szCs w:val="20"/>
        </w:rPr>
        <w:t>«</w:t>
      </w:r>
      <w:r w:rsidRPr="00CD3A4D">
        <w:rPr>
          <w:rFonts w:ascii="Times New Roman" w:hAnsi="Times New Roman"/>
          <w:sz w:val="20"/>
          <w:szCs w:val="20"/>
        </w:rPr>
        <w:t>а</w:t>
      </w:r>
      <w:r w:rsidR="00CD3A4D" w:rsidRPr="00CD3A4D">
        <w:rPr>
          <w:rFonts w:ascii="Times New Roman" w:hAnsi="Times New Roman"/>
          <w:sz w:val="20"/>
          <w:szCs w:val="20"/>
        </w:rPr>
        <w:t>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2"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737B0" w:rsidRDefault="00074AD0" w:rsidP="00F737B0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2269EF" w:rsidRDefault="00074AD0" w:rsidP="00F737B0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2269EF" w:rsidRDefault="00074AD0" w:rsidP="000B693D">
      <w:pPr>
        <w:pStyle w:val="a8"/>
        <w:ind w:firstLine="567"/>
        <w:jc w:val="both"/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F00F37">
      <w:rPr>
        <w:rFonts w:ascii="Times New Roman" w:hAnsi="Times New Roman"/>
        <w:noProof/>
      </w:rPr>
      <w:t>21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6A82"/>
    <w:rsid w:val="000402BC"/>
    <w:rsid w:val="0004168B"/>
    <w:rsid w:val="00042CF5"/>
    <w:rsid w:val="00043935"/>
    <w:rsid w:val="00044AC6"/>
    <w:rsid w:val="000504EB"/>
    <w:rsid w:val="00050BA4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B0A95"/>
    <w:rsid w:val="000B1C6B"/>
    <w:rsid w:val="000B474E"/>
    <w:rsid w:val="000B652F"/>
    <w:rsid w:val="000B693D"/>
    <w:rsid w:val="000C3199"/>
    <w:rsid w:val="000C474C"/>
    <w:rsid w:val="000C5CD6"/>
    <w:rsid w:val="000C5F41"/>
    <w:rsid w:val="000C779E"/>
    <w:rsid w:val="000D4431"/>
    <w:rsid w:val="000E0B68"/>
    <w:rsid w:val="000E37F1"/>
    <w:rsid w:val="000F0864"/>
    <w:rsid w:val="000F1559"/>
    <w:rsid w:val="000F682F"/>
    <w:rsid w:val="000F7F30"/>
    <w:rsid w:val="001004B2"/>
    <w:rsid w:val="0010231C"/>
    <w:rsid w:val="00105E65"/>
    <w:rsid w:val="00112180"/>
    <w:rsid w:val="00112488"/>
    <w:rsid w:val="001132DD"/>
    <w:rsid w:val="00113E95"/>
    <w:rsid w:val="00121EFC"/>
    <w:rsid w:val="00124237"/>
    <w:rsid w:val="00136626"/>
    <w:rsid w:val="00137422"/>
    <w:rsid w:val="00137D2A"/>
    <w:rsid w:val="00142581"/>
    <w:rsid w:val="00142D42"/>
    <w:rsid w:val="00144515"/>
    <w:rsid w:val="00155151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6272"/>
    <w:rsid w:val="00187D9D"/>
    <w:rsid w:val="001919DE"/>
    <w:rsid w:val="001949B6"/>
    <w:rsid w:val="001A1892"/>
    <w:rsid w:val="001A34C1"/>
    <w:rsid w:val="001A4209"/>
    <w:rsid w:val="001A5E1E"/>
    <w:rsid w:val="001B12FF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7081"/>
    <w:rsid w:val="00216E6F"/>
    <w:rsid w:val="00224360"/>
    <w:rsid w:val="002244B2"/>
    <w:rsid w:val="002269EF"/>
    <w:rsid w:val="002278AA"/>
    <w:rsid w:val="0023236E"/>
    <w:rsid w:val="002342CB"/>
    <w:rsid w:val="00241042"/>
    <w:rsid w:val="00245D87"/>
    <w:rsid w:val="002502ED"/>
    <w:rsid w:val="00251A38"/>
    <w:rsid w:val="00252502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9F9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E3FEC"/>
    <w:rsid w:val="002F1F81"/>
    <w:rsid w:val="002F32A2"/>
    <w:rsid w:val="002F7435"/>
    <w:rsid w:val="002F7B0D"/>
    <w:rsid w:val="00301A84"/>
    <w:rsid w:val="00314D0F"/>
    <w:rsid w:val="00315636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50A7A"/>
    <w:rsid w:val="00352A4E"/>
    <w:rsid w:val="00355C1E"/>
    <w:rsid w:val="00356C4D"/>
    <w:rsid w:val="003728CD"/>
    <w:rsid w:val="00376040"/>
    <w:rsid w:val="003802BA"/>
    <w:rsid w:val="003807F8"/>
    <w:rsid w:val="00382627"/>
    <w:rsid w:val="00382629"/>
    <w:rsid w:val="00382F19"/>
    <w:rsid w:val="00386859"/>
    <w:rsid w:val="003910F4"/>
    <w:rsid w:val="00392B9A"/>
    <w:rsid w:val="003959F2"/>
    <w:rsid w:val="00395BCE"/>
    <w:rsid w:val="003A3BE0"/>
    <w:rsid w:val="003A4DE3"/>
    <w:rsid w:val="003B2153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2226D"/>
    <w:rsid w:val="00425C99"/>
    <w:rsid w:val="00426648"/>
    <w:rsid w:val="00431052"/>
    <w:rsid w:val="00431FE2"/>
    <w:rsid w:val="00433374"/>
    <w:rsid w:val="0043564F"/>
    <w:rsid w:val="00442FE0"/>
    <w:rsid w:val="0044456E"/>
    <w:rsid w:val="00444A8C"/>
    <w:rsid w:val="0045117B"/>
    <w:rsid w:val="004534C2"/>
    <w:rsid w:val="00454D49"/>
    <w:rsid w:val="00455D9A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834"/>
    <w:rsid w:val="00491384"/>
    <w:rsid w:val="00493FB9"/>
    <w:rsid w:val="0049696C"/>
    <w:rsid w:val="00497B9B"/>
    <w:rsid w:val="004A442F"/>
    <w:rsid w:val="004B0334"/>
    <w:rsid w:val="004B30A5"/>
    <w:rsid w:val="004B6CE8"/>
    <w:rsid w:val="004B78A8"/>
    <w:rsid w:val="004C0D3F"/>
    <w:rsid w:val="004C335A"/>
    <w:rsid w:val="004C3F5C"/>
    <w:rsid w:val="004C530A"/>
    <w:rsid w:val="004D36AE"/>
    <w:rsid w:val="004D4BE3"/>
    <w:rsid w:val="004E0F38"/>
    <w:rsid w:val="004E4D53"/>
    <w:rsid w:val="004E7216"/>
    <w:rsid w:val="004F356C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15AB0"/>
    <w:rsid w:val="0052040B"/>
    <w:rsid w:val="00522401"/>
    <w:rsid w:val="00522EBF"/>
    <w:rsid w:val="005278F3"/>
    <w:rsid w:val="00532A40"/>
    <w:rsid w:val="00536FD8"/>
    <w:rsid w:val="00540B14"/>
    <w:rsid w:val="00542C3B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82F5A"/>
    <w:rsid w:val="00584B84"/>
    <w:rsid w:val="00585E2A"/>
    <w:rsid w:val="005903E5"/>
    <w:rsid w:val="0059336E"/>
    <w:rsid w:val="00594C18"/>
    <w:rsid w:val="005A2013"/>
    <w:rsid w:val="005A296C"/>
    <w:rsid w:val="005B3103"/>
    <w:rsid w:val="005B7294"/>
    <w:rsid w:val="005C40BE"/>
    <w:rsid w:val="005C5CEB"/>
    <w:rsid w:val="005C6C4C"/>
    <w:rsid w:val="005D0B00"/>
    <w:rsid w:val="005D3E74"/>
    <w:rsid w:val="005D5F21"/>
    <w:rsid w:val="005E6E32"/>
    <w:rsid w:val="005F0F83"/>
    <w:rsid w:val="005F3690"/>
    <w:rsid w:val="005F414E"/>
    <w:rsid w:val="005F67F3"/>
    <w:rsid w:val="0061180C"/>
    <w:rsid w:val="00616C97"/>
    <w:rsid w:val="00622670"/>
    <w:rsid w:val="00622FD9"/>
    <w:rsid w:val="0063219E"/>
    <w:rsid w:val="00633E9D"/>
    <w:rsid w:val="00641F07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3A82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50D5"/>
    <w:rsid w:val="006E69D3"/>
    <w:rsid w:val="006E6BE1"/>
    <w:rsid w:val="006E7D30"/>
    <w:rsid w:val="006F2ABA"/>
    <w:rsid w:val="006F37A0"/>
    <w:rsid w:val="006F537C"/>
    <w:rsid w:val="006F53A2"/>
    <w:rsid w:val="006F752E"/>
    <w:rsid w:val="007006FC"/>
    <w:rsid w:val="00711643"/>
    <w:rsid w:val="00711DD6"/>
    <w:rsid w:val="00716CFC"/>
    <w:rsid w:val="00717E8B"/>
    <w:rsid w:val="00720A4E"/>
    <w:rsid w:val="00723CE2"/>
    <w:rsid w:val="00725B1C"/>
    <w:rsid w:val="00725B6C"/>
    <w:rsid w:val="00726A67"/>
    <w:rsid w:val="0074116F"/>
    <w:rsid w:val="00741690"/>
    <w:rsid w:val="0074183A"/>
    <w:rsid w:val="00754C29"/>
    <w:rsid w:val="0075606C"/>
    <w:rsid w:val="00760C46"/>
    <w:rsid w:val="007642B3"/>
    <w:rsid w:val="00772BE0"/>
    <w:rsid w:val="00774ED0"/>
    <w:rsid w:val="007841BF"/>
    <w:rsid w:val="00784EA8"/>
    <w:rsid w:val="00787909"/>
    <w:rsid w:val="00791A2C"/>
    <w:rsid w:val="00792CF5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9E6"/>
    <w:rsid w:val="008761AC"/>
    <w:rsid w:val="008807E5"/>
    <w:rsid w:val="00880C77"/>
    <w:rsid w:val="00882A5C"/>
    <w:rsid w:val="0088393F"/>
    <w:rsid w:val="008865E9"/>
    <w:rsid w:val="008869AA"/>
    <w:rsid w:val="0089120E"/>
    <w:rsid w:val="00892FC8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4771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D5400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2B8A"/>
    <w:rsid w:val="00A33957"/>
    <w:rsid w:val="00A35E6C"/>
    <w:rsid w:val="00A3643D"/>
    <w:rsid w:val="00A377E0"/>
    <w:rsid w:val="00A40984"/>
    <w:rsid w:val="00A42C70"/>
    <w:rsid w:val="00A44C86"/>
    <w:rsid w:val="00A44E98"/>
    <w:rsid w:val="00A4782A"/>
    <w:rsid w:val="00A47AA9"/>
    <w:rsid w:val="00A47B64"/>
    <w:rsid w:val="00A55F1E"/>
    <w:rsid w:val="00A61908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795"/>
    <w:rsid w:val="00AD6D13"/>
    <w:rsid w:val="00AE2F2A"/>
    <w:rsid w:val="00AE7156"/>
    <w:rsid w:val="00AE72B4"/>
    <w:rsid w:val="00AF004D"/>
    <w:rsid w:val="00AF553A"/>
    <w:rsid w:val="00AF7CA8"/>
    <w:rsid w:val="00B061AD"/>
    <w:rsid w:val="00B10ACD"/>
    <w:rsid w:val="00B11556"/>
    <w:rsid w:val="00B11F3C"/>
    <w:rsid w:val="00B21A80"/>
    <w:rsid w:val="00B27859"/>
    <w:rsid w:val="00B30F6A"/>
    <w:rsid w:val="00B31693"/>
    <w:rsid w:val="00B4096B"/>
    <w:rsid w:val="00B44834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C02714"/>
    <w:rsid w:val="00C048EA"/>
    <w:rsid w:val="00C04BD4"/>
    <w:rsid w:val="00C05840"/>
    <w:rsid w:val="00C0737F"/>
    <w:rsid w:val="00C11DE1"/>
    <w:rsid w:val="00C14BE2"/>
    <w:rsid w:val="00C14D6F"/>
    <w:rsid w:val="00C2086E"/>
    <w:rsid w:val="00C264FB"/>
    <w:rsid w:val="00C27312"/>
    <w:rsid w:val="00C276D9"/>
    <w:rsid w:val="00C27DED"/>
    <w:rsid w:val="00C315AC"/>
    <w:rsid w:val="00C32455"/>
    <w:rsid w:val="00C32B29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14A8"/>
    <w:rsid w:val="00C72F11"/>
    <w:rsid w:val="00C7576C"/>
    <w:rsid w:val="00C807C8"/>
    <w:rsid w:val="00C83135"/>
    <w:rsid w:val="00C83D46"/>
    <w:rsid w:val="00C872CC"/>
    <w:rsid w:val="00C87FD2"/>
    <w:rsid w:val="00C92B21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B2F43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5DF0"/>
    <w:rsid w:val="00D434D3"/>
    <w:rsid w:val="00D439D7"/>
    <w:rsid w:val="00D43C2F"/>
    <w:rsid w:val="00D6289D"/>
    <w:rsid w:val="00D62E4A"/>
    <w:rsid w:val="00D639F4"/>
    <w:rsid w:val="00D651C9"/>
    <w:rsid w:val="00D677B1"/>
    <w:rsid w:val="00D73432"/>
    <w:rsid w:val="00D751ED"/>
    <w:rsid w:val="00D80A6E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26D"/>
    <w:rsid w:val="00DC759C"/>
    <w:rsid w:val="00DD00E6"/>
    <w:rsid w:val="00DD130D"/>
    <w:rsid w:val="00DD49AA"/>
    <w:rsid w:val="00DD4ED9"/>
    <w:rsid w:val="00DD6152"/>
    <w:rsid w:val="00DD63A5"/>
    <w:rsid w:val="00DE06CD"/>
    <w:rsid w:val="00DE34F9"/>
    <w:rsid w:val="00DE3E4B"/>
    <w:rsid w:val="00DE55B8"/>
    <w:rsid w:val="00DE7304"/>
    <w:rsid w:val="00DF70EF"/>
    <w:rsid w:val="00E03D99"/>
    <w:rsid w:val="00E06FEA"/>
    <w:rsid w:val="00E07754"/>
    <w:rsid w:val="00E07B8E"/>
    <w:rsid w:val="00E1584A"/>
    <w:rsid w:val="00E16A21"/>
    <w:rsid w:val="00E25063"/>
    <w:rsid w:val="00E261E0"/>
    <w:rsid w:val="00E32D89"/>
    <w:rsid w:val="00E338FB"/>
    <w:rsid w:val="00E40E6F"/>
    <w:rsid w:val="00E41BC9"/>
    <w:rsid w:val="00E470FE"/>
    <w:rsid w:val="00E55D8F"/>
    <w:rsid w:val="00E655C6"/>
    <w:rsid w:val="00E66501"/>
    <w:rsid w:val="00E6735A"/>
    <w:rsid w:val="00E72C66"/>
    <w:rsid w:val="00E73FB4"/>
    <w:rsid w:val="00E740B0"/>
    <w:rsid w:val="00E74545"/>
    <w:rsid w:val="00E758E4"/>
    <w:rsid w:val="00E759B5"/>
    <w:rsid w:val="00E85B95"/>
    <w:rsid w:val="00E866A2"/>
    <w:rsid w:val="00E86C8A"/>
    <w:rsid w:val="00E87EC8"/>
    <w:rsid w:val="00E920E6"/>
    <w:rsid w:val="00E9732C"/>
    <w:rsid w:val="00EA2988"/>
    <w:rsid w:val="00EC150B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2F0E"/>
    <w:rsid w:val="00EF5945"/>
    <w:rsid w:val="00EF64FE"/>
    <w:rsid w:val="00F00D78"/>
    <w:rsid w:val="00F00F37"/>
    <w:rsid w:val="00F01D8C"/>
    <w:rsid w:val="00F03F2D"/>
    <w:rsid w:val="00F118E4"/>
    <w:rsid w:val="00F12834"/>
    <w:rsid w:val="00F1649C"/>
    <w:rsid w:val="00F17210"/>
    <w:rsid w:val="00F173C4"/>
    <w:rsid w:val="00F30EF5"/>
    <w:rsid w:val="00F33B25"/>
    <w:rsid w:val="00F34405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37B0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221B"/>
    <w:rsid w:val="00FB4EE9"/>
    <w:rsid w:val="00FB628E"/>
    <w:rsid w:val="00FB65BD"/>
    <w:rsid w:val="00FC1034"/>
    <w:rsid w:val="00FC5DD9"/>
    <w:rsid w:val="00FD0081"/>
    <w:rsid w:val="00FD08D8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4A681DC-2473-4C36-8F05-30AF5ED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0A4p6B7I" TargetMode="External"/><Relationship Id="rId13" Type="http://schemas.openxmlformats.org/officeDocument/2006/relationships/hyperlink" Target="consultantplus://offline/ref=0F4AA89B7CEED02652547F392678D66B3AB1124F52FA173505CF6F0A50AB337BD029810EB1530Ea9e0I" TargetMode="External"/><Relationship Id="rId18" Type="http://schemas.openxmlformats.org/officeDocument/2006/relationships/hyperlink" Target="consultantplus://offline/ref=0F4AA89B7CEED02652547F392678D66B33B8104E54F34A3F0D96630857aAe4I" TargetMode="External"/><Relationship Id="rId26" Type="http://schemas.openxmlformats.org/officeDocument/2006/relationships/hyperlink" Target="consultantplus://offline/ref=B86F5DF6DA6541434458BD5E75F797C9853DC2B87E44ADB890B2FCB3C4F0D7FAA9A97EF679F7vDO" TargetMode="External"/><Relationship Id="rId39" Type="http://schemas.openxmlformats.org/officeDocument/2006/relationships/hyperlink" Target="consultantplus://offline/ref=4BBCE85631046BB3A75526B977865233B83602651CF06B3B14B383398E9EBC43185CA7E5c6p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4AA89B7CEED02652547F392678D66B30B1134850F64A3F0D96630857A46C6CD7608D0FB1530D9Ca9e6I" TargetMode="External"/><Relationship Id="rId34" Type="http://schemas.openxmlformats.org/officeDocument/2006/relationships/hyperlink" Target="consultantplus://offline/ref=6DD3312C9D76C56EF7AECB3A4A45230CB88DA6E26D1EF5F89F08079B20F16A6E94591A6DJ8s2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4513607114BBE48A2E453992B9154133EC25A2B35984EA000789B634BAB9B0C61F0FE399817664z834H" TargetMode="External"/><Relationship Id="rId17" Type="http://schemas.openxmlformats.org/officeDocument/2006/relationships/hyperlink" Target="consultantplus://offline/ref=0F4AA89B7CEED02652547F392678D66B33B81B4E57F84A3F0D96630857A46C6CD7608D0FB253a0eFI" TargetMode="External"/><Relationship Id="rId25" Type="http://schemas.openxmlformats.org/officeDocument/2006/relationships/hyperlink" Target="consultantplus://offline/ref=182BAB6538E8297E56F2E1F44EF1EA3D61F5C5687C0AEE484213E01A05A7DE474EE5E0B6uE41I" TargetMode="External"/><Relationship Id="rId33" Type="http://schemas.openxmlformats.org/officeDocument/2006/relationships/hyperlink" Target="consultantplus://offline/ref=ADB3EEFE584288FA1F724ECA723C1E909F0147C3D085ABD69F2BB3B6A77F927C0409DB93VBD8N" TargetMode="External"/><Relationship Id="rId38" Type="http://schemas.openxmlformats.org/officeDocument/2006/relationships/hyperlink" Target="consultantplus://offline/ref=357E5634E50750992A7D15AD3E9EE446786C904B73EE5F79AE6DFBF072E49F2B85E7897DEC2DQ6S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AA89B7CEED02652547F392678D66B33B8124A54F04A3F0D96630857aAe4I" TargetMode="External"/><Relationship Id="rId20" Type="http://schemas.openxmlformats.org/officeDocument/2006/relationships/hyperlink" Target="consultantplus://offline/ref=0F4AA89B7CEED02652547F392678D66B30B1134850F64A3F0D96630857A46C6CD7608D0FB1530C92a9e4I" TargetMode="External"/><Relationship Id="rId29" Type="http://schemas.openxmlformats.org/officeDocument/2006/relationships/hyperlink" Target="consultantplus://offline/ref=3A82DA886CB78036E7285582FBF88C07304581C5F6330D1E5342B5F9EF8965436350CC130EF446626Es4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873E31E2A8AF04DC50D7CEFDC0600724006D0974205FD4CC847D49A534FA8C31C00F822ED5A2BjBl7I" TargetMode="External"/><Relationship Id="rId24" Type="http://schemas.openxmlformats.org/officeDocument/2006/relationships/hyperlink" Target="consultantplus://offline/ref=0F4AA89B7CEED02652547F392678D66B33B81B4E54F14A3F0D96630857A46C6CD7608D0FB1530F92a9eCI" TargetMode="External"/><Relationship Id="rId32" Type="http://schemas.openxmlformats.org/officeDocument/2006/relationships/hyperlink" Target="consultantplus://offline/ref=ADB3EEFE584288FA1F724ECA723C1E909C0145C1DF8FABD69F2BB3B6A77F927C0409DB90B04B474FV8DBN" TargetMode="External"/><Relationship Id="rId37" Type="http://schemas.openxmlformats.org/officeDocument/2006/relationships/hyperlink" Target="consultantplus://offline/ref=357E5634E50750992A7D15AD3E9EE446786C904B73EE5F79AE6DFBF072E49F2B85E7897FEC276A52Q9S6I" TargetMode="External"/><Relationship Id="rId40" Type="http://schemas.openxmlformats.org/officeDocument/2006/relationships/hyperlink" Target="consultantplus://offline/ref=F6934D9FF8E1A4C9B57DB5E443C494A92918217AEA3A081D23675638FF8E67890012A428yAy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AA89B7CEED02652547F392678D66B33B81B4E57F84A3F0D96630857aAe4I" TargetMode="External"/><Relationship Id="rId23" Type="http://schemas.openxmlformats.org/officeDocument/2006/relationships/hyperlink" Target="consultantplus://offline/ref=0F4AA89B7CEED02652547F392678D66B33B81B4E54F14A3F0D96630857A46C6CD7608D0FB1530E92a9e7I" TargetMode="External"/><Relationship Id="rId28" Type="http://schemas.openxmlformats.org/officeDocument/2006/relationships/hyperlink" Target="consultantplus://offline/ref=3A82DA886CB78036E7285582FBF88C07334580C3F6320D1E5342B5F9EF8965436350CC130EF446626EsAJ" TargetMode="External"/><Relationship Id="rId36" Type="http://schemas.openxmlformats.org/officeDocument/2006/relationships/hyperlink" Target="consultantplus://offline/ref=357E5634E50750992A7D15AD3E9EE446786C904B73EE5F79AE6DFBF072E49F2B85E7897BEF20Q6S9I" TargetMode="External"/><Relationship Id="rId10" Type="http://schemas.openxmlformats.org/officeDocument/2006/relationships/hyperlink" Target="consultantplus://offline/ref=1A3DBF4CB59385E730536768324E74D5693D38E83294F029D74F1119BECB12134765983A1CB951A3p6B8I" TargetMode="External"/><Relationship Id="rId19" Type="http://schemas.openxmlformats.org/officeDocument/2006/relationships/hyperlink" Target="consultantplus://offline/ref=0F4AA89B7CEED02652547F392678D66B30B1134850F64A3F0D96630857A46C6CD7608D0FB1530C90a9e0I" TargetMode="External"/><Relationship Id="rId31" Type="http://schemas.openxmlformats.org/officeDocument/2006/relationships/hyperlink" Target="consultantplus://offline/ref=ADB3EEFE584288FA1F724ECA723C1E909F0147CFD185ABD69F2BB3B6A77F927C0409DB90B74AV4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DBF4CB59385E730536768324E74D5693D38E83294F029D74F1119BECB12134765983A1CB950A7p6B1I" TargetMode="External"/><Relationship Id="rId14" Type="http://schemas.openxmlformats.org/officeDocument/2006/relationships/hyperlink" Target="consultantplus://offline/ref=0F4AA89B7CEED02652547F392678D66B33B81B4E57F84A3F0D96630857A46C6CD7608D0FB35Ba0eDI" TargetMode="External"/><Relationship Id="rId22" Type="http://schemas.openxmlformats.org/officeDocument/2006/relationships/hyperlink" Target="consultantplus://offline/ref=0F4AA89B7CEED02652547F392678D66B33B8164F5BF54A3F0D96630857A46C6CD7608D0FB1520E96a9e4I" TargetMode="External"/><Relationship Id="rId27" Type="http://schemas.openxmlformats.org/officeDocument/2006/relationships/hyperlink" Target="consultantplus://offline/ref=B86F5DF6DA6541434458BD5E75F797C9853DC2B87E44ADB890B2FCB3C4F0D7FAA9A97EF37473FCv4O" TargetMode="External"/><Relationship Id="rId30" Type="http://schemas.openxmlformats.org/officeDocument/2006/relationships/hyperlink" Target="consultantplus://offline/ref=86F15BC9C91753B9052EEF62B9DB68D8FA68EF9CD16622E21B455581E2C4320EC94FDABD0922E1w4O" TargetMode="External"/><Relationship Id="rId35" Type="http://schemas.openxmlformats.org/officeDocument/2006/relationships/hyperlink" Target="consultantplus://offline/ref=EA6A2C8879C65A821B6EA6715BAEB703223982BB086C8293916FCBFC61A903F74626AD675C6Dr9i4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65FE-3677-45D1-BCC5-377FAEED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9087</Words>
  <Characters>51797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MTSZ</Company>
  <LinksUpToDate>false</LinksUpToDate>
  <CharactersWithSpaces>60763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TereshenkoAP</dc:creator>
  <cp:keywords/>
  <dc:description/>
  <cp:lastModifiedBy>User</cp:lastModifiedBy>
  <cp:revision>2</cp:revision>
  <cp:lastPrinted>2017-05-11T08:32:00Z</cp:lastPrinted>
  <dcterms:created xsi:type="dcterms:W3CDTF">2017-10-18T08:14:00Z</dcterms:created>
  <dcterms:modified xsi:type="dcterms:W3CDTF">2017-10-18T08:14:00Z</dcterms:modified>
</cp:coreProperties>
</file>