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70" w:rsidRDefault="00BC0470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BC0470" w:rsidRDefault="008652D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ФЕДЕРАЦИЯ       </w:t>
      </w:r>
      <w:r>
        <w:rPr>
          <w:b/>
          <w:color w:val="000000"/>
          <w:sz w:val="28"/>
          <w:szCs w:val="28"/>
        </w:rPr>
        <w:t xml:space="preserve">                 </w:t>
      </w:r>
    </w:p>
    <w:p w:rsidR="00BC0470" w:rsidRDefault="008652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КАРАЧАЕВО-ЧЕРКЕССКАЯ   РЕСПУБЛИКА</w:t>
      </w:r>
    </w:p>
    <w:p w:rsidR="00BC0470" w:rsidRDefault="008652DE">
      <w:pPr>
        <w:pBdr>
          <w:top w:val="nil"/>
          <w:left w:val="nil"/>
          <w:bottom w:val="nil"/>
          <w:right w:val="nil"/>
          <w:between w:val="nil"/>
        </w:pBdr>
        <w:ind w:left="-9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АДМИНИСТРАЦИЯ УСТЬ-ДЖЕГУТИНСКОГО МУНИЦИПАЛЬНОГО РАЙОНА</w:t>
      </w:r>
    </w:p>
    <w:p w:rsidR="00BC0470" w:rsidRDefault="00BC0470">
      <w:pPr>
        <w:pBdr>
          <w:top w:val="nil"/>
          <w:left w:val="nil"/>
          <w:bottom w:val="nil"/>
          <w:right w:val="nil"/>
          <w:between w:val="nil"/>
        </w:pBdr>
        <w:ind w:left="-900"/>
        <w:jc w:val="center"/>
        <w:rPr>
          <w:sz w:val="28"/>
          <w:szCs w:val="28"/>
        </w:rPr>
      </w:pPr>
    </w:p>
    <w:p w:rsidR="00BC0470" w:rsidRDefault="008652D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BC0470" w:rsidRDefault="00BC04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BC0470" w:rsidRDefault="008652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21.07.</w:t>
      </w:r>
      <w:r>
        <w:rPr>
          <w:color w:val="000000"/>
          <w:sz w:val="28"/>
          <w:szCs w:val="28"/>
        </w:rPr>
        <w:t>2020                                      г. Усть-Джегута                                 №</w:t>
      </w:r>
      <w:r>
        <w:rPr>
          <w:sz w:val="28"/>
          <w:szCs w:val="28"/>
        </w:rPr>
        <w:t xml:space="preserve"> 221</w:t>
      </w:r>
    </w:p>
    <w:p w:rsidR="00BC0470" w:rsidRDefault="00BC0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C0470" w:rsidRDefault="008652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второе полугодие 2020 года и показателях средней рыночной стоимости одного квадратного метра общей площади жилого помещения по субъектам Российск</w:t>
      </w:r>
      <w:r>
        <w:rPr>
          <w:b/>
          <w:color w:val="000000"/>
          <w:sz w:val="28"/>
          <w:szCs w:val="28"/>
        </w:rPr>
        <w:t>ой Федерации на III квартал 2020 года для расчета размера социальных выплат, выделяемых для всех категорий граждан, которым указанные социальные выплаты предоставляются на приобретение жилых помещений за счет</w:t>
      </w:r>
      <w:proofErr w:type="gramEnd"/>
      <w:r>
        <w:rPr>
          <w:b/>
          <w:color w:val="000000"/>
          <w:sz w:val="28"/>
          <w:szCs w:val="28"/>
        </w:rPr>
        <w:t xml:space="preserve"> средств Федерального бюджета</w:t>
      </w:r>
    </w:p>
    <w:p w:rsidR="00BC0470" w:rsidRDefault="00BC0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C0470" w:rsidRDefault="008652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 со</w:t>
      </w:r>
      <w:r>
        <w:rPr>
          <w:color w:val="000000"/>
          <w:sz w:val="28"/>
          <w:szCs w:val="28"/>
        </w:rPr>
        <w:t>ответствии с постановлением Правительства Российской Федерации от 17 декабря 2010 года N 1050 «О федеральной целевой программе "Жилище" на 2015-2020 годы», Приказом Министерства строительства и жилищно-коммунального хозяйства РФ от 29.06.2020 № 351/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>
        <w:rPr>
          <w:color w:val="000000"/>
          <w:sz w:val="28"/>
          <w:szCs w:val="28"/>
        </w:rPr>
        <w:t xml:space="preserve"> "О н</w:t>
      </w:r>
      <w:r>
        <w:rPr>
          <w:color w:val="000000"/>
          <w:sz w:val="28"/>
          <w:szCs w:val="28"/>
        </w:rPr>
        <w:t>ормативе стоимости одного квадратного метра общей площади жилого помещения по Российской Федерации на второе полугодие 2020 года и показателях средней рыночной стоимости одного квадратного метра общей площади жилого помещения по субъектам Российской Федера</w:t>
      </w:r>
      <w:r>
        <w:rPr>
          <w:color w:val="000000"/>
          <w:sz w:val="28"/>
          <w:szCs w:val="28"/>
        </w:rPr>
        <w:t>ции на III квартал 2020 года"</w:t>
      </w:r>
    </w:p>
    <w:p w:rsidR="00BC0470" w:rsidRDefault="008652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BC0470" w:rsidRDefault="00BC0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C0470" w:rsidRDefault="00865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Установить на третий квартал 2020 года норматив стоимости одного квадратного метра общей площади жилья по Усть-Джегутинскому муниципальному району в размере  38 368 (тридцать восемь тысяч триста шестьдесят восемь) рублей для расчёта размера социальных выпл</w:t>
      </w:r>
      <w:r>
        <w:rPr>
          <w:color w:val="000000"/>
          <w:sz w:val="28"/>
          <w:szCs w:val="28"/>
        </w:rPr>
        <w:t>ат, выделяемых  для всех категорий граждан, которым указанные социальные выплаты предоставляются за счет средств федерального бюджета на приобретение жилых помещений.</w:t>
      </w:r>
      <w:proofErr w:type="gramEnd"/>
    </w:p>
    <w:p w:rsidR="00BC0470" w:rsidRDefault="00865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Усть-Джегутинского </w:t>
      </w:r>
      <w:r>
        <w:rPr>
          <w:color w:val="000000"/>
          <w:sz w:val="28"/>
          <w:szCs w:val="28"/>
        </w:rPr>
        <w:t xml:space="preserve">муниципального района в сети «Интернет» </w:t>
      </w:r>
      <w:hyperlink r:id="rId6">
        <w:r>
          <w:rPr>
            <w:color w:val="0000FF"/>
            <w:sz w:val="28"/>
            <w:szCs w:val="28"/>
            <w:u w:val="single"/>
          </w:rPr>
          <w:t>www.udmunicipal.ru</w:t>
        </w:r>
      </w:hyperlink>
      <w:r>
        <w:rPr>
          <w:color w:val="000000"/>
          <w:sz w:val="28"/>
          <w:szCs w:val="28"/>
        </w:rPr>
        <w:t>.</w:t>
      </w:r>
    </w:p>
    <w:p w:rsidR="00BC0470" w:rsidRDefault="00865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газете «Джегутинская                            неделя».</w:t>
      </w:r>
    </w:p>
    <w:p w:rsidR="00BC0470" w:rsidRDefault="00865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</w:t>
      </w:r>
      <w:r>
        <w:rPr>
          <w:color w:val="000000"/>
          <w:sz w:val="28"/>
          <w:szCs w:val="28"/>
        </w:rPr>
        <w:t>ить на заместителя Главы администрации, курирующего данные вопросы.</w:t>
      </w:r>
    </w:p>
    <w:p w:rsidR="00BC0470" w:rsidRDefault="008652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tbl>
      <w:tblPr>
        <w:tblStyle w:val="a5"/>
        <w:tblW w:w="100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3"/>
        <w:gridCol w:w="2976"/>
        <w:gridCol w:w="2533"/>
      </w:tblGrid>
      <w:tr w:rsidR="00BC0470">
        <w:tc>
          <w:tcPr>
            <w:tcW w:w="4503" w:type="dxa"/>
          </w:tcPr>
          <w:p w:rsidR="00BC0470" w:rsidRDefault="00865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обязанности Главы администрации             Усть-Джегутинского муниципального района</w:t>
            </w:r>
          </w:p>
        </w:tc>
        <w:tc>
          <w:tcPr>
            <w:tcW w:w="2976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C0470" w:rsidRDefault="00865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Семенов</w:t>
            </w:r>
          </w:p>
        </w:tc>
      </w:tr>
      <w:tr w:rsidR="00BC0470">
        <w:tc>
          <w:tcPr>
            <w:tcW w:w="450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C0470">
        <w:tc>
          <w:tcPr>
            <w:tcW w:w="450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C0470">
        <w:tc>
          <w:tcPr>
            <w:tcW w:w="450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</w:tabs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C0470">
        <w:tc>
          <w:tcPr>
            <w:tcW w:w="450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C0470">
        <w:tc>
          <w:tcPr>
            <w:tcW w:w="450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C0470">
        <w:tc>
          <w:tcPr>
            <w:tcW w:w="450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BC0470" w:rsidRDefault="00BC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BC0470" w:rsidRDefault="00BC04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BC0470">
      <w:pgSz w:w="11906" w:h="16838"/>
      <w:pgMar w:top="851" w:right="851" w:bottom="568" w:left="12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77D7"/>
    <w:multiLevelType w:val="multilevel"/>
    <w:tmpl w:val="95ECEF3A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0470"/>
    <w:rsid w:val="008652DE"/>
    <w:rsid w:val="00B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2020-07-27T10:22:00Z</dcterms:created>
  <dcterms:modified xsi:type="dcterms:W3CDTF">2020-07-27T10:22:00Z</dcterms:modified>
</cp:coreProperties>
</file>